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C94" w:rsidRPr="00877F3F" w:rsidRDefault="005E17A5" w:rsidP="00194C94">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pict>
          <v:group id="_x0000_s1026" style="position:absolute;left:0;text-align:left;margin-left:57.3pt;margin-top:19.45pt;width:518.8pt;height:801.3pt;z-index:251658240;mso-position-horizontal-relative:page;mso-position-vertical-relative:page" coordsize="20000,20000">
            <v:rect id="_x0000_s1027" style="position:absolute;width:20000;height:20000" filled="f" strokeweight="2pt"/>
            <v:line id="_x0000_s1028" style="position:absolute" from="1093,18949" to="1095,19989" strokeweight="2pt"/>
            <v:line id="_x0000_s1029" style="position:absolute" from="10,18941" to="19977,18942" strokeweight="2pt"/>
            <v:line id="_x0000_s1030" style="position:absolute" from="2186,18949" to="2188,19989" strokeweight="2pt"/>
            <v:line id="_x0000_s1031" style="position:absolute" from="4919,18949" to="4921,19989" strokeweight="2pt"/>
            <v:line id="_x0000_s1032" style="position:absolute" from="6557,18959" to="6559,19989" strokeweight="2pt"/>
            <v:line id="_x0000_s1033" style="position:absolute" from="7650,18949" to="7652,19979" strokeweight="2pt"/>
            <v:line id="_x0000_s1034" style="position:absolute" from="18905,18949" to="18909,19989" strokeweight="2pt"/>
            <v:line id="_x0000_s1035" style="position:absolute" from="10,19293" to="7631,19295" strokeweight="1pt"/>
            <v:line id="_x0000_s1036" style="position:absolute" from="10,19646" to="7631,19647" strokeweight="2pt"/>
            <v:line id="_x0000_s1037" style="position:absolute" from="18919,19296" to="19990,19297" strokeweight="1pt"/>
            <v:rect id="_x0000_s1038" style="position:absolute;left:54;top:19660;width:1000;height:309" filled="f" stroked="f" strokeweight=".25pt">
              <v:textbox style="mso-next-textbox:#_x0000_s1038" inset="1pt,1pt,1pt,1pt">
                <w:txbxContent>
                  <w:p w:rsidR="00D01AD2" w:rsidRDefault="00D01AD2" w:rsidP="00D01AD2">
                    <w:pPr>
                      <w:pStyle w:val="a3"/>
                      <w:jc w:val="center"/>
                      <w:rPr>
                        <w:sz w:val="18"/>
                      </w:rPr>
                    </w:pPr>
                    <w:proofErr w:type="spellStart"/>
                    <w:r>
                      <w:rPr>
                        <w:sz w:val="18"/>
                      </w:rPr>
                      <w:t>Зм</w:t>
                    </w:r>
                    <w:proofErr w:type="spellEnd"/>
                    <w:r>
                      <w:rPr>
                        <w:sz w:val="18"/>
                      </w:rPr>
                      <w:t>.</w:t>
                    </w:r>
                  </w:p>
                </w:txbxContent>
              </v:textbox>
            </v:rect>
            <v:rect id="_x0000_s1039" style="position:absolute;left:1139;top:19660;width:1001;height:309" filled="f" stroked="f" strokeweight=".25pt">
              <v:textbox style="mso-next-textbox:#_x0000_s1039" inset="1pt,1pt,1pt,1pt">
                <w:txbxContent>
                  <w:p w:rsidR="00D01AD2" w:rsidRDefault="00D01AD2" w:rsidP="00D01AD2">
                    <w:pPr>
                      <w:pStyle w:val="a3"/>
                      <w:jc w:val="center"/>
                      <w:rPr>
                        <w:sz w:val="18"/>
                      </w:rPr>
                    </w:pPr>
                    <w:r>
                      <w:rPr>
                        <w:sz w:val="18"/>
                      </w:rPr>
                      <w:t>Арк.</w:t>
                    </w:r>
                  </w:p>
                </w:txbxContent>
              </v:textbox>
            </v:rect>
            <v:rect id="_x0000_s1040" style="position:absolute;left:2267;top:19660;width:2573;height:309" filled="f" stroked="f" strokeweight=".25pt">
              <v:textbox style="mso-next-textbox:#_x0000_s1040" inset="1pt,1pt,1pt,1pt">
                <w:txbxContent>
                  <w:p w:rsidR="00D01AD2" w:rsidRDefault="00D01AD2" w:rsidP="00D01AD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041" style="position:absolute;left:4983;top:19660;width:1534;height:309" filled="f" stroked="f" strokeweight=".25pt">
              <v:textbox style="mso-next-textbox:#_x0000_s1041" inset="1pt,1pt,1pt,1pt">
                <w:txbxContent>
                  <w:p w:rsidR="00D01AD2" w:rsidRDefault="00D01AD2" w:rsidP="00D01AD2">
                    <w:pPr>
                      <w:pStyle w:val="a3"/>
                      <w:jc w:val="center"/>
                      <w:rPr>
                        <w:sz w:val="18"/>
                      </w:rPr>
                    </w:pPr>
                    <w:r>
                      <w:rPr>
                        <w:sz w:val="18"/>
                      </w:rPr>
                      <w:t>Підпис</w:t>
                    </w:r>
                  </w:p>
                </w:txbxContent>
              </v:textbox>
            </v:rect>
            <v:rect id="_x0000_s1042" style="position:absolute;left:6604;top:19660;width:1000;height:309" filled="f" stroked="f" strokeweight=".25pt">
              <v:textbox style="mso-next-textbox:#_x0000_s1042" inset="1pt,1pt,1pt,1pt">
                <w:txbxContent>
                  <w:p w:rsidR="00D01AD2" w:rsidRDefault="00D01AD2" w:rsidP="00D01AD2">
                    <w:pPr>
                      <w:pStyle w:val="a3"/>
                      <w:jc w:val="center"/>
                      <w:rPr>
                        <w:sz w:val="18"/>
                      </w:rPr>
                    </w:pPr>
                    <w:r>
                      <w:rPr>
                        <w:sz w:val="18"/>
                      </w:rPr>
                      <w:t>Дата</w:t>
                    </w:r>
                  </w:p>
                </w:txbxContent>
              </v:textbox>
            </v:rect>
            <v:rect id="_x0000_s1043" style="position:absolute;left:18949;top:18977;width:1001;height:309" filled="f" stroked="f" strokeweight=".25pt">
              <v:textbox style="mso-next-textbox:#_x0000_s1043" inset="1pt,1pt,1pt,1pt">
                <w:txbxContent>
                  <w:p w:rsidR="00D01AD2" w:rsidRDefault="00D01AD2" w:rsidP="00D01AD2">
                    <w:pPr>
                      <w:pStyle w:val="a3"/>
                      <w:jc w:val="center"/>
                      <w:rPr>
                        <w:sz w:val="18"/>
                      </w:rPr>
                    </w:pPr>
                    <w:r>
                      <w:rPr>
                        <w:sz w:val="18"/>
                      </w:rPr>
                      <w:t>Арк.</w:t>
                    </w:r>
                  </w:p>
                </w:txbxContent>
              </v:textbox>
            </v:rect>
            <v:rect id="_x0000_s1044" style="position:absolute;left:18949;top:19435;width:1001;height:423" filled="f" stroked="f" strokeweight=".25pt">
              <v:textbox style="mso-next-textbox:#_x0000_s1044" inset="1pt,1pt,1pt,1pt">
                <w:txbxContent>
                  <w:p w:rsidR="00D01AD2" w:rsidRPr="00973C98" w:rsidRDefault="00973C98" w:rsidP="00D01AD2">
                    <w:pPr>
                      <w:jc w:val="center"/>
                      <w:rPr>
                        <w:rFonts w:ascii="Times New Roman" w:hAnsi="Times New Roman" w:cs="Times New Roman"/>
                        <w:sz w:val="24"/>
                        <w:szCs w:val="24"/>
                        <w:lang w:val="uk-UA"/>
                      </w:rPr>
                    </w:pPr>
                    <w:r>
                      <w:rPr>
                        <w:rFonts w:ascii="Times New Roman" w:hAnsi="Times New Roman" w:cs="Times New Roman"/>
                        <w:sz w:val="24"/>
                        <w:szCs w:val="24"/>
                        <w:lang w:val="uk-UA"/>
                      </w:rPr>
                      <w:t>41</w:t>
                    </w:r>
                  </w:p>
                </w:txbxContent>
              </v:textbox>
            </v:rect>
            <v:rect id="_x0000_s1045" style="position:absolute;left:7745;top:19221;width:11075;height:477" filled="f" stroked="f" strokeweight=".25pt">
              <v:textbox style="mso-next-textbox:#_x0000_s1045" inset="1pt,1pt,1pt,1pt">
                <w:txbxContent>
                  <w:p w:rsidR="00D01AD2" w:rsidRPr="00D01AD2" w:rsidRDefault="00D01AD2" w:rsidP="00D01AD2">
                    <w:pPr>
                      <w:jc w:val="center"/>
                      <w:rPr>
                        <w:rFonts w:ascii="Times New Roman" w:hAnsi="Times New Roman" w:cs="Times New Roman"/>
                        <w:sz w:val="28"/>
                        <w:szCs w:val="28"/>
                      </w:rPr>
                    </w:pPr>
                    <w:r w:rsidRPr="00D01AD2">
                      <w:rPr>
                        <w:rFonts w:ascii="Times New Roman" w:hAnsi="Times New Roman" w:cs="Times New Roman"/>
                        <w:sz w:val="28"/>
                        <w:szCs w:val="28"/>
                      </w:rPr>
                      <w:t>КРА.</w:t>
                    </w:r>
                    <w:r w:rsidRPr="00D01AD2">
                      <w:rPr>
                        <w:rFonts w:ascii="Times New Roman" w:hAnsi="Times New Roman" w:cs="Times New Roman"/>
                        <w:sz w:val="28"/>
                        <w:szCs w:val="28"/>
                        <w:lang w:val="en-US"/>
                      </w:rPr>
                      <w:t>1</w:t>
                    </w:r>
                    <w:r w:rsidRPr="00D01AD2">
                      <w:rPr>
                        <w:rFonts w:ascii="Times New Roman" w:hAnsi="Times New Roman" w:cs="Times New Roman"/>
                        <w:sz w:val="28"/>
                        <w:szCs w:val="28"/>
                        <w:lang w:val="uk-UA"/>
                      </w:rPr>
                      <w:t>8</w:t>
                    </w:r>
                    <w:r w:rsidRPr="00D01AD2">
                      <w:rPr>
                        <w:rFonts w:ascii="Times New Roman" w:hAnsi="Times New Roman" w:cs="Times New Roman"/>
                        <w:sz w:val="28"/>
                        <w:szCs w:val="28"/>
                      </w:rPr>
                      <w:t>.00.00 ПЗ</w:t>
                    </w:r>
                  </w:p>
                  <w:p w:rsidR="00D01AD2" w:rsidRPr="002E56C1" w:rsidRDefault="00D01AD2" w:rsidP="00D01AD2"/>
                </w:txbxContent>
              </v:textbox>
            </v:rect>
            <w10:wrap anchorx="page" anchory="page"/>
            <w10:anchorlock/>
          </v:group>
        </w:pict>
      </w:r>
      <w:r w:rsidR="00194C94" w:rsidRPr="00877F3F">
        <w:rPr>
          <w:rFonts w:ascii="Times New Roman" w:hAnsi="Times New Roman" w:cs="Times New Roman"/>
          <w:sz w:val="28"/>
          <w:szCs w:val="28"/>
          <w:lang w:val="uk-UA"/>
        </w:rPr>
        <w:t>2.3 Технічне обслуговування</w:t>
      </w:r>
    </w:p>
    <w:p w:rsidR="00194C94" w:rsidRPr="00877F3F" w:rsidRDefault="00194C94" w:rsidP="00194C94">
      <w:pPr>
        <w:spacing w:after="0" w:line="360" w:lineRule="auto"/>
        <w:ind w:firstLine="709"/>
        <w:contextualSpacing/>
        <w:jc w:val="both"/>
        <w:rPr>
          <w:rFonts w:ascii="Times New Roman" w:hAnsi="Times New Roman" w:cs="Times New Roman"/>
          <w:sz w:val="28"/>
          <w:szCs w:val="28"/>
          <w:lang w:val="uk-UA"/>
        </w:rPr>
      </w:pPr>
    </w:p>
    <w:p w:rsidR="00194C94" w:rsidRPr="00877F3F" w:rsidRDefault="00194C94" w:rsidP="00194C94">
      <w:pPr>
        <w:spacing w:after="0" w:line="360" w:lineRule="auto"/>
        <w:ind w:firstLine="709"/>
        <w:contextualSpacing/>
        <w:jc w:val="both"/>
        <w:rPr>
          <w:rFonts w:ascii="Times New Roman" w:hAnsi="Times New Roman" w:cs="Times New Roman"/>
          <w:sz w:val="28"/>
          <w:szCs w:val="28"/>
          <w:lang w:val="uk-UA"/>
        </w:rPr>
      </w:pPr>
    </w:p>
    <w:p w:rsidR="00194C94" w:rsidRPr="00877F3F" w:rsidRDefault="00194C94" w:rsidP="00194C94">
      <w:pPr>
        <w:spacing w:after="0" w:line="360" w:lineRule="auto"/>
        <w:ind w:firstLine="709"/>
        <w:contextualSpacing/>
        <w:jc w:val="both"/>
        <w:rPr>
          <w:rFonts w:ascii="Times New Roman" w:hAnsi="Times New Roman" w:cs="Times New Roman"/>
          <w:color w:val="000000"/>
          <w:sz w:val="28"/>
          <w:szCs w:val="28"/>
          <w:lang w:val="uk-UA"/>
        </w:rPr>
      </w:pPr>
      <w:r w:rsidRPr="00877F3F">
        <w:rPr>
          <w:rFonts w:ascii="Times New Roman" w:hAnsi="Times New Roman" w:cs="Times New Roman"/>
          <w:color w:val="000000"/>
          <w:sz w:val="28"/>
          <w:szCs w:val="28"/>
          <w:lang w:val="uk-UA"/>
        </w:rPr>
        <w:t>Обслуговування приладів ТРК виконують в обсязі та з періодичністю, які зазначені в Інструкції з технічного обслу</w:t>
      </w:r>
      <w:r w:rsidRPr="00877F3F">
        <w:rPr>
          <w:rFonts w:ascii="Times New Roman" w:hAnsi="Times New Roman" w:cs="Times New Roman"/>
          <w:color w:val="000000"/>
          <w:sz w:val="28"/>
          <w:szCs w:val="28"/>
          <w:lang w:val="uk-UA"/>
        </w:rPr>
        <w:softHyphen/>
        <w:t>говування пристроїв сигналізації, централізації та блокування (СЦБ) ЦШЕОТ/0012, розділ 10-Електричні рейкові кола.</w:t>
      </w:r>
    </w:p>
    <w:p w:rsidR="00194C94" w:rsidRPr="00877F3F" w:rsidRDefault="00194C94" w:rsidP="00194C94">
      <w:pPr>
        <w:spacing w:after="0" w:line="360" w:lineRule="auto"/>
        <w:ind w:firstLine="709"/>
        <w:contextualSpacing/>
        <w:jc w:val="both"/>
        <w:rPr>
          <w:rFonts w:ascii="Times New Roman" w:hAnsi="Times New Roman" w:cs="Times New Roman"/>
          <w:sz w:val="28"/>
          <w:szCs w:val="28"/>
          <w:lang w:val="uk-UA"/>
        </w:rPr>
      </w:pPr>
      <w:r w:rsidRPr="00877F3F">
        <w:rPr>
          <w:rFonts w:ascii="Times New Roman" w:hAnsi="Times New Roman" w:cs="Times New Roman"/>
          <w:sz w:val="28"/>
          <w:szCs w:val="28"/>
          <w:lang w:val="uk-UA"/>
        </w:rPr>
        <w:t>Напруга на вході колійних приймачів, згідно з нормаллю ТРЦ</w:t>
      </w:r>
      <w:r>
        <w:rPr>
          <w:rFonts w:ascii="Times New Roman" w:hAnsi="Times New Roman" w:cs="Times New Roman"/>
          <w:sz w:val="28"/>
          <w:szCs w:val="28"/>
          <w:lang w:val="uk-UA"/>
        </w:rPr>
        <w:t xml:space="preserve"> – </w:t>
      </w:r>
      <w:r w:rsidRPr="00877F3F">
        <w:rPr>
          <w:rFonts w:ascii="Times New Roman" w:hAnsi="Times New Roman" w:cs="Times New Roman"/>
          <w:sz w:val="28"/>
          <w:szCs w:val="28"/>
          <w:lang w:val="uk-UA"/>
        </w:rPr>
        <w:t>ЭТ50</w:t>
      </w:r>
      <w:r>
        <w:rPr>
          <w:rFonts w:ascii="Times New Roman" w:hAnsi="Times New Roman" w:cs="Times New Roman"/>
          <w:sz w:val="28"/>
          <w:szCs w:val="28"/>
          <w:lang w:val="uk-UA"/>
        </w:rPr>
        <w:t xml:space="preserve"> </w:t>
      </w:r>
      <w:r w:rsidRPr="00877F3F">
        <w:rPr>
          <w:rFonts w:ascii="Times New Roman" w:hAnsi="Times New Roman" w:cs="Times New Roman"/>
          <w:sz w:val="28"/>
          <w:szCs w:val="28"/>
          <w:lang w:val="uk-UA"/>
        </w:rPr>
        <w:t>(</w:t>
      </w:r>
      <w:proofErr w:type="spellStart"/>
      <w:r w:rsidRPr="00877F3F">
        <w:rPr>
          <w:rFonts w:ascii="Times New Roman" w:hAnsi="Times New Roman" w:cs="Times New Roman"/>
          <w:sz w:val="28"/>
          <w:szCs w:val="28"/>
          <w:lang w:val="uk-UA"/>
        </w:rPr>
        <w:t>АЛС</w:t>
      </w:r>
      <w:proofErr w:type="spellEnd"/>
      <w:r w:rsidRPr="00877F3F">
        <w:rPr>
          <w:rFonts w:ascii="Times New Roman" w:hAnsi="Times New Roman" w:cs="Times New Roman"/>
          <w:sz w:val="28"/>
          <w:szCs w:val="28"/>
          <w:lang w:val="uk-UA"/>
        </w:rPr>
        <w:t xml:space="preserve"> 25, 76)</w:t>
      </w:r>
      <w:r>
        <w:rPr>
          <w:rFonts w:ascii="Times New Roman" w:hAnsi="Times New Roman" w:cs="Times New Roman"/>
          <w:sz w:val="28"/>
          <w:szCs w:val="28"/>
          <w:lang w:val="uk-UA"/>
        </w:rPr>
        <w:t xml:space="preserve"> – </w:t>
      </w:r>
      <w:r w:rsidRPr="00877F3F">
        <w:rPr>
          <w:rFonts w:ascii="Times New Roman" w:hAnsi="Times New Roman" w:cs="Times New Roman"/>
          <w:sz w:val="28"/>
          <w:szCs w:val="28"/>
          <w:lang w:val="uk-UA"/>
        </w:rPr>
        <w:t>С</w:t>
      </w:r>
      <w:r>
        <w:rPr>
          <w:rFonts w:ascii="Times New Roman" w:hAnsi="Times New Roman" w:cs="Times New Roman"/>
          <w:sz w:val="28"/>
          <w:szCs w:val="28"/>
          <w:lang w:val="uk-UA"/>
        </w:rPr>
        <w:t xml:space="preserve"> – </w:t>
      </w:r>
      <w:r w:rsidRPr="00877F3F">
        <w:rPr>
          <w:rFonts w:ascii="Times New Roman" w:hAnsi="Times New Roman" w:cs="Times New Roman"/>
          <w:sz w:val="28"/>
          <w:szCs w:val="28"/>
          <w:lang w:val="uk-UA"/>
        </w:rPr>
        <w:t>96, повинна бути встановлена в межах від мінімального значення (Uппmin=0.4 В) до макси</w:t>
      </w:r>
      <w:r>
        <w:rPr>
          <w:rFonts w:ascii="Times New Roman" w:hAnsi="Times New Roman" w:cs="Times New Roman"/>
          <w:sz w:val="28"/>
          <w:szCs w:val="28"/>
          <w:lang w:val="uk-UA"/>
        </w:rPr>
        <w:t xml:space="preserve">мального значення (Uппmax=1.4 </w:t>
      </w:r>
      <w:r w:rsidRPr="00877F3F">
        <w:rPr>
          <w:rFonts w:ascii="Times New Roman" w:hAnsi="Times New Roman" w:cs="Times New Roman"/>
          <w:sz w:val="28"/>
          <w:szCs w:val="28"/>
          <w:lang w:val="uk-UA"/>
        </w:rPr>
        <w:t>В). Наприклад для частоти 480 Гц (таблиця 2.1).</w:t>
      </w:r>
    </w:p>
    <w:p w:rsidR="00194C94" w:rsidRPr="00FC3B61" w:rsidRDefault="00194C94" w:rsidP="00194C94">
      <w:pPr>
        <w:spacing w:after="0" w:line="360" w:lineRule="auto"/>
        <w:ind w:firstLine="709"/>
        <w:contextualSpacing/>
        <w:jc w:val="both"/>
        <w:rPr>
          <w:rFonts w:ascii="Times New Roman" w:hAnsi="Times New Roman" w:cs="Times New Roman"/>
          <w:sz w:val="28"/>
          <w:szCs w:val="28"/>
        </w:rPr>
      </w:pPr>
    </w:p>
    <w:p w:rsidR="00194C94" w:rsidRPr="00877F3F" w:rsidRDefault="00194C94" w:rsidP="00194C94">
      <w:pPr>
        <w:spacing w:after="0" w:line="360" w:lineRule="auto"/>
        <w:ind w:firstLine="709"/>
        <w:contextualSpacing/>
        <w:jc w:val="both"/>
        <w:rPr>
          <w:rFonts w:ascii="Times New Roman" w:hAnsi="Times New Roman" w:cs="Times New Roman"/>
          <w:sz w:val="28"/>
          <w:szCs w:val="28"/>
          <w:lang w:val="uk-UA"/>
        </w:rPr>
      </w:pPr>
      <w:r w:rsidRPr="00877F3F">
        <w:rPr>
          <w:rFonts w:ascii="Times New Roman" w:hAnsi="Times New Roman" w:cs="Times New Roman"/>
          <w:sz w:val="28"/>
          <w:szCs w:val="28"/>
          <w:lang w:val="uk-UA"/>
        </w:rPr>
        <w:t>Таблиця 2.1 – Регулювальна таблиця</w:t>
      </w:r>
    </w:p>
    <w:tbl>
      <w:tblPr>
        <w:tblW w:w="9608"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1096"/>
        <w:gridCol w:w="969"/>
        <w:gridCol w:w="1055"/>
        <w:gridCol w:w="1375"/>
        <w:gridCol w:w="1496"/>
        <w:gridCol w:w="1438"/>
        <w:gridCol w:w="1096"/>
        <w:gridCol w:w="1083"/>
      </w:tblGrid>
      <w:tr w:rsidR="00194C94" w:rsidRPr="00877F3F" w:rsidTr="00863018">
        <w:trPr>
          <w:cantSplit/>
          <w:trHeight w:val="449"/>
        </w:trPr>
        <w:tc>
          <w:tcPr>
            <w:tcW w:w="1096" w:type="dxa"/>
            <w:vMerge w:val="restart"/>
            <w:vAlign w:val="center"/>
          </w:tcPr>
          <w:p w:rsidR="00194C94" w:rsidRPr="00877F3F" w:rsidRDefault="00194C94" w:rsidP="00863018">
            <w:pPr>
              <w:pStyle w:val="a4"/>
              <w:contextualSpacing/>
              <w:jc w:val="center"/>
              <w:rPr>
                <w:szCs w:val="28"/>
                <w:lang w:val="uk-UA"/>
              </w:rPr>
            </w:pPr>
            <w:r w:rsidRPr="00877F3F">
              <w:rPr>
                <w:szCs w:val="28"/>
                <w:lang w:val="en-US"/>
              </w:rPr>
              <w:t>f</w:t>
            </w:r>
            <w:r w:rsidRPr="00877F3F">
              <w:rPr>
                <w:szCs w:val="28"/>
                <w:lang w:val="uk-UA"/>
              </w:rPr>
              <w:t>н, Гц</w:t>
            </w:r>
          </w:p>
        </w:tc>
        <w:tc>
          <w:tcPr>
            <w:tcW w:w="969" w:type="dxa"/>
            <w:vMerge w:val="restart"/>
            <w:tcBorders>
              <w:right w:val="single" w:sz="4" w:space="0" w:color="000000"/>
            </w:tcBorders>
            <w:vAlign w:val="center"/>
          </w:tcPr>
          <w:p w:rsidR="00194C94" w:rsidRPr="00877F3F" w:rsidRDefault="00194C94" w:rsidP="00863018">
            <w:pPr>
              <w:pStyle w:val="a4"/>
              <w:contextualSpacing/>
              <w:jc w:val="center"/>
              <w:rPr>
                <w:szCs w:val="28"/>
                <w:lang w:val="uk-UA"/>
              </w:rPr>
            </w:pPr>
            <w:r w:rsidRPr="00877F3F">
              <w:rPr>
                <w:szCs w:val="28"/>
                <w:lang w:val="en-US"/>
              </w:rPr>
              <w:t>r</w:t>
            </w:r>
            <w:proofErr w:type="spellStart"/>
            <w:r w:rsidRPr="00877F3F">
              <w:rPr>
                <w:szCs w:val="28"/>
                <w:vertAlign w:val="subscript"/>
                <w:lang w:val="uk-UA"/>
              </w:rPr>
              <w:t>имин</w:t>
            </w:r>
            <w:proofErr w:type="spellEnd"/>
            <w:r w:rsidRPr="00877F3F">
              <w:rPr>
                <w:szCs w:val="28"/>
                <w:lang w:val="uk-UA"/>
              </w:rPr>
              <w:t>,</w:t>
            </w:r>
            <w:r>
              <w:rPr>
                <w:szCs w:val="28"/>
                <w:lang w:val="uk-UA"/>
              </w:rPr>
              <w:t xml:space="preserve"> </w:t>
            </w:r>
            <w:r w:rsidRPr="00877F3F">
              <w:rPr>
                <w:szCs w:val="28"/>
                <w:lang w:val="uk-UA"/>
              </w:rPr>
              <w:t>Ом*км</w:t>
            </w:r>
          </w:p>
        </w:tc>
        <w:tc>
          <w:tcPr>
            <w:tcW w:w="1011" w:type="dxa"/>
            <w:vMerge w:val="restart"/>
            <w:tcBorders>
              <w:left w:val="single" w:sz="4" w:space="0" w:color="000000"/>
            </w:tcBorders>
            <w:vAlign w:val="center"/>
          </w:tcPr>
          <w:p w:rsidR="00194C94" w:rsidRPr="00877F3F" w:rsidRDefault="00194C94" w:rsidP="00863018">
            <w:pPr>
              <w:pStyle w:val="a4"/>
              <w:contextualSpacing/>
              <w:jc w:val="center"/>
              <w:rPr>
                <w:szCs w:val="28"/>
                <w:lang w:val="en-US"/>
              </w:rPr>
            </w:pPr>
            <w:r>
              <w:rPr>
                <w:szCs w:val="28"/>
                <w:lang w:val="en-US"/>
              </w:rPr>
              <w:t>L,</w:t>
            </w:r>
            <w:r w:rsidRPr="00877F3F">
              <w:rPr>
                <w:szCs w:val="28"/>
                <w:lang w:val="en-US"/>
              </w:rPr>
              <w:t>L1/L2</w:t>
            </w:r>
          </w:p>
        </w:tc>
        <w:tc>
          <w:tcPr>
            <w:tcW w:w="0" w:type="auto"/>
            <w:vMerge w:val="restart"/>
            <w:vAlign w:val="center"/>
          </w:tcPr>
          <w:p w:rsidR="00194C94" w:rsidRPr="00877F3F" w:rsidRDefault="00194C94" w:rsidP="00863018">
            <w:pPr>
              <w:pStyle w:val="a4"/>
              <w:contextualSpacing/>
              <w:jc w:val="center"/>
              <w:rPr>
                <w:szCs w:val="28"/>
                <w:lang w:val="uk-UA"/>
              </w:rPr>
            </w:pPr>
            <w:r w:rsidRPr="00877F3F">
              <w:rPr>
                <w:szCs w:val="28"/>
                <w:lang w:val="en-US"/>
              </w:rPr>
              <w:t>U</w:t>
            </w:r>
            <w:r w:rsidRPr="00877F3F">
              <w:rPr>
                <w:szCs w:val="28"/>
                <w:lang w:val="uk-UA"/>
              </w:rPr>
              <w:t>г, В</w:t>
            </w:r>
          </w:p>
        </w:tc>
        <w:tc>
          <w:tcPr>
            <w:tcW w:w="0" w:type="auto"/>
            <w:vMerge w:val="restart"/>
            <w:vAlign w:val="center"/>
          </w:tcPr>
          <w:p w:rsidR="00194C94" w:rsidRPr="00877F3F" w:rsidRDefault="00194C94" w:rsidP="00863018">
            <w:pPr>
              <w:pStyle w:val="a4"/>
              <w:contextualSpacing/>
              <w:jc w:val="center"/>
              <w:rPr>
                <w:szCs w:val="28"/>
              </w:rPr>
            </w:pPr>
            <w:r w:rsidRPr="00877F3F">
              <w:rPr>
                <w:szCs w:val="28"/>
                <w:lang w:val="en-US"/>
              </w:rPr>
              <w:t>U</w:t>
            </w:r>
            <w:proofErr w:type="spellStart"/>
            <w:r w:rsidRPr="00877F3F">
              <w:rPr>
                <w:szCs w:val="28"/>
              </w:rPr>
              <w:t>ф</w:t>
            </w:r>
            <w:proofErr w:type="spellEnd"/>
            <w:r w:rsidRPr="00877F3F">
              <w:rPr>
                <w:szCs w:val="28"/>
              </w:rPr>
              <w:t>, В</w:t>
            </w:r>
          </w:p>
        </w:tc>
        <w:tc>
          <w:tcPr>
            <w:tcW w:w="0" w:type="auto"/>
            <w:vMerge w:val="restart"/>
            <w:vAlign w:val="center"/>
          </w:tcPr>
          <w:p w:rsidR="00194C94" w:rsidRPr="00877F3F" w:rsidRDefault="00194C94" w:rsidP="00863018">
            <w:pPr>
              <w:pStyle w:val="a4"/>
              <w:contextualSpacing/>
              <w:jc w:val="center"/>
              <w:rPr>
                <w:szCs w:val="28"/>
              </w:rPr>
            </w:pPr>
            <w:r w:rsidRPr="00877F3F">
              <w:rPr>
                <w:szCs w:val="28"/>
                <w:lang w:val="en-US"/>
              </w:rPr>
              <w:t>U</w:t>
            </w:r>
            <w:proofErr w:type="spellStart"/>
            <w:r w:rsidRPr="00877F3F">
              <w:rPr>
                <w:szCs w:val="28"/>
              </w:rPr>
              <w:t>н</w:t>
            </w:r>
            <w:proofErr w:type="spellEnd"/>
            <w:r w:rsidRPr="00877F3F">
              <w:rPr>
                <w:szCs w:val="28"/>
              </w:rPr>
              <w:t>, В</w:t>
            </w:r>
          </w:p>
        </w:tc>
        <w:tc>
          <w:tcPr>
            <w:tcW w:w="0" w:type="auto"/>
            <w:gridSpan w:val="2"/>
            <w:vAlign w:val="center"/>
          </w:tcPr>
          <w:p w:rsidR="00194C94" w:rsidRPr="00877F3F" w:rsidRDefault="00194C94" w:rsidP="00863018">
            <w:pPr>
              <w:pStyle w:val="a4"/>
              <w:contextualSpacing/>
              <w:jc w:val="center"/>
              <w:rPr>
                <w:szCs w:val="28"/>
              </w:rPr>
            </w:pPr>
            <w:r w:rsidRPr="00877F3F">
              <w:rPr>
                <w:szCs w:val="28"/>
                <w:lang w:val="en-US"/>
              </w:rPr>
              <w:t>U</w:t>
            </w:r>
            <w:proofErr w:type="spellStart"/>
            <w:r w:rsidRPr="00877F3F">
              <w:rPr>
                <w:szCs w:val="28"/>
              </w:rPr>
              <w:t>пп</w:t>
            </w:r>
            <w:proofErr w:type="spellEnd"/>
            <w:r w:rsidRPr="00877F3F">
              <w:rPr>
                <w:szCs w:val="28"/>
              </w:rPr>
              <w:t>, В</w:t>
            </w:r>
          </w:p>
        </w:tc>
      </w:tr>
      <w:tr w:rsidR="00194C94" w:rsidRPr="00877F3F" w:rsidTr="00863018">
        <w:trPr>
          <w:cantSplit/>
          <w:trHeight w:val="149"/>
        </w:trPr>
        <w:tc>
          <w:tcPr>
            <w:tcW w:w="1096" w:type="dxa"/>
            <w:vMerge/>
            <w:vAlign w:val="center"/>
          </w:tcPr>
          <w:p w:rsidR="00194C94" w:rsidRPr="00877F3F" w:rsidRDefault="00194C94" w:rsidP="00863018">
            <w:pPr>
              <w:pStyle w:val="a4"/>
              <w:ind w:firstLine="851"/>
              <w:contextualSpacing/>
              <w:jc w:val="center"/>
              <w:rPr>
                <w:szCs w:val="28"/>
              </w:rPr>
            </w:pPr>
          </w:p>
        </w:tc>
        <w:tc>
          <w:tcPr>
            <w:tcW w:w="969" w:type="dxa"/>
            <w:vMerge/>
            <w:tcBorders>
              <w:right w:val="single" w:sz="4" w:space="0" w:color="000000"/>
            </w:tcBorders>
            <w:vAlign w:val="center"/>
          </w:tcPr>
          <w:p w:rsidR="00194C94" w:rsidRPr="00877F3F" w:rsidRDefault="00194C94" w:rsidP="00863018">
            <w:pPr>
              <w:pStyle w:val="a4"/>
              <w:ind w:firstLine="851"/>
              <w:contextualSpacing/>
              <w:jc w:val="center"/>
              <w:rPr>
                <w:szCs w:val="28"/>
              </w:rPr>
            </w:pPr>
          </w:p>
        </w:tc>
        <w:tc>
          <w:tcPr>
            <w:tcW w:w="1011" w:type="dxa"/>
            <w:vMerge/>
            <w:tcBorders>
              <w:left w:val="single" w:sz="4" w:space="0" w:color="000000"/>
            </w:tcBorders>
            <w:vAlign w:val="center"/>
          </w:tcPr>
          <w:p w:rsidR="00194C94" w:rsidRPr="00877F3F" w:rsidRDefault="00194C94" w:rsidP="00863018">
            <w:pPr>
              <w:pStyle w:val="a4"/>
              <w:ind w:firstLine="851"/>
              <w:contextualSpacing/>
              <w:jc w:val="center"/>
              <w:rPr>
                <w:szCs w:val="28"/>
              </w:rPr>
            </w:pPr>
          </w:p>
        </w:tc>
        <w:tc>
          <w:tcPr>
            <w:tcW w:w="0" w:type="auto"/>
            <w:vMerge/>
            <w:vAlign w:val="center"/>
          </w:tcPr>
          <w:p w:rsidR="00194C94" w:rsidRPr="00877F3F" w:rsidRDefault="00194C94" w:rsidP="00863018">
            <w:pPr>
              <w:pStyle w:val="a4"/>
              <w:ind w:firstLine="851"/>
              <w:contextualSpacing/>
              <w:jc w:val="center"/>
              <w:rPr>
                <w:szCs w:val="28"/>
              </w:rPr>
            </w:pPr>
          </w:p>
        </w:tc>
        <w:tc>
          <w:tcPr>
            <w:tcW w:w="0" w:type="auto"/>
            <w:vMerge/>
            <w:vAlign w:val="center"/>
          </w:tcPr>
          <w:p w:rsidR="00194C94" w:rsidRPr="00877F3F" w:rsidRDefault="00194C94" w:rsidP="00863018">
            <w:pPr>
              <w:pStyle w:val="a4"/>
              <w:ind w:firstLine="851"/>
              <w:contextualSpacing/>
              <w:jc w:val="center"/>
              <w:rPr>
                <w:szCs w:val="28"/>
              </w:rPr>
            </w:pPr>
          </w:p>
        </w:tc>
        <w:tc>
          <w:tcPr>
            <w:tcW w:w="0" w:type="auto"/>
            <w:vMerge/>
            <w:vAlign w:val="center"/>
          </w:tcPr>
          <w:p w:rsidR="00194C94" w:rsidRPr="00877F3F" w:rsidRDefault="00194C94" w:rsidP="00863018">
            <w:pPr>
              <w:pStyle w:val="a4"/>
              <w:ind w:firstLine="851"/>
              <w:contextualSpacing/>
              <w:jc w:val="center"/>
              <w:rPr>
                <w:szCs w:val="28"/>
              </w:rPr>
            </w:pPr>
          </w:p>
        </w:tc>
        <w:tc>
          <w:tcPr>
            <w:tcW w:w="0" w:type="auto"/>
            <w:vAlign w:val="center"/>
          </w:tcPr>
          <w:p w:rsidR="00194C94" w:rsidRPr="00877F3F" w:rsidRDefault="00194C94" w:rsidP="00863018">
            <w:pPr>
              <w:pStyle w:val="a4"/>
              <w:contextualSpacing/>
              <w:jc w:val="center"/>
              <w:rPr>
                <w:szCs w:val="28"/>
                <w:lang w:val="uk-UA"/>
              </w:rPr>
            </w:pPr>
            <w:r w:rsidRPr="00877F3F">
              <w:rPr>
                <w:szCs w:val="28"/>
                <w:lang w:val="en-US"/>
              </w:rPr>
              <w:t>min</w:t>
            </w:r>
          </w:p>
        </w:tc>
        <w:tc>
          <w:tcPr>
            <w:tcW w:w="0" w:type="auto"/>
            <w:vAlign w:val="center"/>
          </w:tcPr>
          <w:p w:rsidR="00194C94" w:rsidRPr="00877F3F" w:rsidRDefault="00194C94" w:rsidP="00863018">
            <w:pPr>
              <w:pStyle w:val="a4"/>
              <w:contextualSpacing/>
              <w:jc w:val="center"/>
              <w:rPr>
                <w:szCs w:val="28"/>
                <w:lang w:val="en-US"/>
              </w:rPr>
            </w:pPr>
            <w:r w:rsidRPr="00877F3F">
              <w:rPr>
                <w:szCs w:val="28"/>
                <w:lang w:val="en-US"/>
              </w:rPr>
              <w:t>max</w:t>
            </w:r>
          </w:p>
        </w:tc>
      </w:tr>
      <w:tr w:rsidR="00194C94" w:rsidRPr="00877F3F" w:rsidTr="00863018">
        <w:trPr>
          <w:cantSplit/>
          <w:trHeight w:val="405"/>
        </w:trPr>
        <w:tc>
          <w:tcPr>
            <w:tcW w:w="1096" w:type="dxa"/>
            <w:vAlign w:val="center"/>
          </w:tcPr>
          <w:p w:rsidR="00194C94" w:rsidRPr="00877F3F" w:rsidRDefault="00194C94" w:rsidP="00863018">
            <w:pPr>
              <w:pStyle w:val="a4"/>
              <w:contextualSpacing/>
              <w:jc w:val="center"/>
              <w:rPr>
                <w:szCs w:val="28"/>
                <w:lang w:val="uk-UA"/>
              </w:rPr>
            </w:pPr>
            <w:r w:rsidRPr="00877F3F">
              <w:rPr>
                <w:szCs w:val="28"/>
                <w:lang w:val="uk-UA"/>
              </w:rPr>
              <w:t>480</w:t>
            </w:r>
          </w:p>
        </w:tc>
        <w:tc>
          <w:tcPr>
            <w:tcW w:w="969" w:type="dxa"/>
            <w:tcBorders>
              <w:right w:val="single" w:sz="4" w:space="0" w:color="000000"/>
            </w:tcBorders>
            <w:vAlign w:val="center"/>
          </w:tcPr>
          <w:p w:rsidR="00194C94" w:rsidRPr="00877F3F" w:rsidRDefault="00194C94" w:rsidP="00863018">
            <w:pPr>
              <w:pStyle w:val="a4"/>
              <w:contextualSpacing/>
              <w:jc w:val="center"/>
              <w:rPr>
                <w:szCs w:val="28"/>
                <w:lang w:val="en-US"/>
              </w:rPr>
            </w:pPr>
            <w:r w:rsidRPr="00877F3F">
              <w:rPr>
                <w:szCs w:val="28"/>
                <w:lang w:val="en-US"/>
              </w:rPr>
              <w:t>0.3</w:t>
            </w:r>
          </w:p>
        </w:tc>
        <w:tc>
          <w:tcPr>
            <w:tcW w:w="1011" w:type="dxa"/>
            <w:tcBorders>
              <w:left w:val="single" w:sz="4" w:space="0" w:color="000000"/>
            </w:tcBorders>
            <w:vAlign w:val="center"/>
          </w:tcPr>
          <w:p w:rsidR="00194C94" w:rsidRPr="00877F3F" w:rsidRDefault="00194C94" w:rsidP="00863018">
            <w:pPr>
              <w:pStyle w:val="a4"/>
              <w:contextualSpacing/>
              <w:jc w:val="center"/>
              <w:rPr>
                <w:szCs w:val="28"/>
                <w:lang w:val="uk-UA"/>
              </w:rPr>
            </w:pPr>
            <w:r w:rsidRPr="00877F3F">
              <w:rPr>
                <w:szCs w:val="28"/>
                <w:lang w:val="uk-UA"/>
              </w:rPr>
              <w:t>500/500</w:t>
            </w:r>
          </w:p>
        </w:tc>
        <w:tc>
          <w:tcPr>
            <w:tcW w:w="0" w:type="auto"/>
            <w:vAlign w:val="center"/>
          </w:tcPr>
          <w:p w:rsidR="00194C94" w:rsidRPr="00877F3F" w:rsidRDefault="00194C94" w:rsidP="00863018">
            <w:pPr>
              <w:pStyle w:val="a4"/>
              <w:contextualSpacing/>
              <w:jc w:val="center"/>
              <w:rPr>
                <w:szCs w:val="28"/>
                <w:lang w:val="en-US"/>
              </w:rPr>
            </w:pPr>
            <w:r w:rsidRPr="00877F3F">
              <w:rPr>
                <w:szCs w:val="28"/>
                <w:lang w:val="en-US"/>
              </w:rPr>
              <w:t>3.3</w:t>
            </w:r>
          </w:p>
        </w:tc>
        <w:tc>
          <w:tcPr>
            <w:tcW w:w="0" w:type="auto"/>
            <w:vAlign w:val="center"/>
          </w:tcPr>
          <w:p w:rsidR="00194C94" w:rsidRPr="00877F3F" w:rsidRDefault="00194C94" w:rsidP="00863018">
            <w:pPr>
              <w:pStyle w:val="a4"/>
              <w:contextualSpacing/>
              <w:jc w:val="center"/>
              <w:rPr>
                <w:szCs w:val="28"/>
                <w:lang w:val="uk-UA"/>
              </w:rPr>
            </w:pPr>
            <w:r w:rsidRPr="00877F3F">
              <w:rPr>
                <w:szCs w:val="28"/>
                <w:lang w:val="en-US"/>
              </w:rPr>
              <w:t>2</w:t>
            </w:r>
            <w:r w:rsidRPr="00877F3F">
              <w:rPr>
                <w:szCs w:val="28"/>
                <w:lang w:val="uk-UA"/>
              </w:rPr>
              <w:t>5,5</w:t>
            </w:r>
          </w:p>
        </w:tc>
        <w:tc>
          <w:tcPr>
            <w:tcW w:w="0" w:type="auto"/>
            <w:vAlign w:val="center"/>
          </w:tcPr>
          <w:p w:rsidR="00194C94" w:rsidRPr="00877F3F" w:rsidRDefault="00194C94" w:rsidP="00863018">
            <w:pPr>
              <w:pStyle w:val="a4"/>
              <w:contextualSpacing/>
              <w:jc w:val="center"/>
              <w:rPr>
                <w:szCs w:val="28"/>
                <w:lang w:val="en-US"/>
              </w:rPr>
            </w:pPr>
            <w:r w:rsidRPr="00877F3F">
              <w:rPr>
                <w:szCs w:val="28"/>
                <w:lang w:val="en-US"/>
              </w:rPr>
              <w:t>0.35</w:t>
            </w:r>
          </w:p>
        </w:tc>
        <w:tc>
          <w:tcPr>
            <w:tcW w:w="0" w:type="auto"/>
            <w:vAlign w:val="center"/>
          </w:tcPr>
          <w:p w:rsidR="00194C94" w:rsidRPr="00877F3F" w:rsidRDefault="00194C94" w:rsidP="00863018">
            <w:pPr>
              <w:pStyle w:val="a4"/>
              <w:contextualSpacing/>
              <w:jc w:val="center"/>
              <w:rPr>
                <w:szCs w:val="28"/>
              </w:rPr>
            </w:pPr>
            <w:r w:rsidRPr="00877F3F">
              <w:rPr>
                <w:szCs w:val="28"/>
              </w:rPr>
              <w:t>0,40</w:t>
            </w:r>
          </w:p>
        </w:tc>
        <w:tc>
          <w:tcPr>
            <w:tcW w:w="0" w:type="auto"/>
            <w:vAlign w:val="center"/>
          </w:tcPr>
          <w:p w:rsidR="00194C94" w:rsidRPr="00877F3F" w:rsidRDefault="00194C94" w:rsidP="00863018">
            <w:pPr>
              <w:pStyle w:val="a4"/>
              <w:contextualSpacing/>
              <w:jc w:val="center"/>
              <w:rPr>
                <w:szCs w:val="28"/>
                <w:lang w:val="en-US"/>
              </w:rPr>
            </w:pPr>
            <w:r w:rsidRPr="00877F3F">
              <w:rPr>
                <w:szCs w:val="28"/>
              </w:rPr>
              <w:t>1,</w:t>
            </w:r>
            <w:r w:rsidRPr="00877F3F">
              <w:rPr>
                <w:szCs w:val="28"/>
                <w:lang w:val="en-US"/>
              </w:rPr>
              <w:t>4</w:t>
            </w:r>
          </w:p>
        </w:tc>
      </w:tr>
    </w:tbl>
    <w:p w:rsidR="00194C94" w:rsidRDefault="00194C94" w:rsidP="00194C94">
      <w:pPr>
        <w:shd w:val="clear" w:color="auto" w:fill="FFFFFF"/>
        <w:autoSpaceDE w:val="0"/>
        <w:autoSpaceDN w:val="0"/>
        <w:adjustRightInd w:val="0"/>
        <w:spacing w:after="0" w:line="360" w:lineRule="auto"/>
        <w:ind w:firstLine="709"/>
        <w:contextualSpacing/>
        <w:jc w:val="both"/>
        <w:rPr>
          <w:rFonts w:ascii="Times New Roman" w:hAnsi="Times New Roman" w:cs="Times New Roman"/>
          <w:color w:val="000000"/>
          <w:sz w:val="28"/>
          <w:szCs w:val="28"/>
          <w:lang w:val="uk-UA"/>
        </w:rPr>
      </w:pPr>
    </w:p>
    <w:p w:rsidR="00194C94" w:rsidRPr="00877F3F" w:rsidRDefault="00194C94" w:rsidP="00194C94">
      <w:pPr>
        <w:shd w:val="clear" w:color="auto" w:fill="FFFFFF"/>
        <w:autoSpaceDE w:val="0"/>
        <w:autoSpaceDN w:val="0"/>
        <w:adjustRightInd w:val="0"/>
        <w:spacing w:after="0" w:line="360" w:lineRule="auto"/>
        <w:ind w:firstLine="709"/>
        <w:contextualSpacing/>
        <w:jc w:val="both"/>
        <w:rPr>
          <w:rFonts w:ascii="Times New Roman" w:hAnsi="Times New Roman" w:cs="Times New Roman"/>
          <w:sz w:val="28"/>
          <w:szCs w:val="28"/>
          <w:lang w:val="uk-UA"/>
        </w:rPr>
      </w:pPr>
      <w:r w:rsidRPr="00877F3F">
        <w:rPr>
          <w:rFonts w:ascii="Times New Roman" w:hAnsi="Times New Roman" w:cs="Times New Roman"/>
          <w:color w:val="000000"/>
          <w:sz w:val="28"/>
          <w:szCs w:val="28"/>
          <w:lang w:val="uk-UA"/>
        </w:rPr>
        <w:t>Один раз на квартал, а також при заміні апаратури та регулюванні рейкового кола вимірюється напруга на виходах генераторів, фільтрів і напруга модульованого сигналу на вході колійного приймача. Напруга повинна бути в межах допустимих значень, що вказані в регулювальній таблиці. Якщо напруга не відповідає встановленій нормі, негайно вжити заходів щодо визначення причин невідповідності, пере</w:t>
      </w:r>
      <w:r w:rsidRPr="00877F3F">
        <w:rPr>
          <w:rFonts w:ascii="Times New Roman" w:hAnsi="Times New Roman" w:cs="Times New Roman"/>
          <w:color w:val="000000"/>
          <w:sz w:val="28"/>
          <w:szCs w:val="28"/>
          <w:lang w:val="uk-UA"/>
        </w:rPr>
        <w:softHyphen/>
        <w:t>вірки правильності включення схеми ТРК та усунення завад від сторонніх джерел. Вимірювання виконують приладами типу Ц4380, Ц4312, ВЗ-38, ВЗ-55 у режимі змінного струму.</w:t>
      </w:r>
    </w:p>
    <w:p w:rsidR="00194C94" w:rsidRPr="00877F3F" w:rsidRDefault="00194C94" w:rsidP="00194C94">
      <w:pPr>
        <w:shd w:val="clear" w:color="auto" w:fill="FFFFFF"/>
        <w:autoSpaceDE w:val="0"/>
        <w:autoSpaceDN w:val="0"/>
        <w:adjustRightInd w:val="0"/>
        <w:spacing w:after="0" w:line="360" w:lineRule="auto"/>
        <w:ind w:firstLine="709"/>
        <w:contextualSpacing/>
        <w:jc w:val="both"/>
        <w:rPr>
          <w:rFonts w:ascii="Times New Roman" w:hAnsi="Times New Roman" w:cs="Times New Roman"/>
          <w:sz w:val="28"/>
          <w:szCs w:val="28"/>
          <w:lang w:val="uk-UA"/>
        </w:rPr>
      </w:pPr>
      <w:r w:rsidRPr="00877F3F">
        <w:rPr>
          <w:rFonts w:ascii="Times New Roman" w:hAnsi="Times New Roman" w:cs="Times New Roman"/>
          <w:color w:val="000000"/>
          <w:sz w:val="28"/>
          <w:szCs w:val="28"/>
          <w:lang w:val="uk-UA"/>
        </w:rPr>
        <w:t>Один раз на квартал, а також при заміні апаратури та регулюванні рейкового кола вимірюється напруга на обмотці колійного реле. Величини допустимих напруг. Якщо напруга на вході колійного приймача знаходиться у межах встановлених норм, а напруга на обмотках колійного реле не відповідає</w:t>
      </w:r>
      <w:r w:rsidRPr="00877F3F">
        <w:rPr>
          <w:rFonts w:ascii="Times New Roman" w:hAnsi="Times New Roman" w:cs="Times New Roman"/>
          <w:color w:val="000000"/>
          <w:sz w:val="28"/>
          <w:szCs w:val="28"/>
        </w:rPr>
        <w:t xml:space="preserve"> </w:t>
      </w:r>
      <w:r w:rsidRPr="00877F3F">
        <w:rPr>
          <w:rFonts w:ascii="Times New Roman" w:hAnsi="Times New Roman" w:cs="Times New Roman"/>
          <w:color w:val="000000"/>
          <w:sz w:val="28"/>
          <w:szCs w:val="28"/>
          <w:lang w:val="uk-UA"/>
        </w:rPr>
        <w:t xml:space="preserve">то </w:t>
      </w:r>
      <w:r w:rsidR="005E17A5" w:rsidRPr="005E17A5">
        <w:rPr>
          <w:rFonts w:ascii="Times New Roman" w:hAnsi="Times New Roman" w:cs="Times New Roman"/>
          <w:noProof/>
          <w:color w:val="000000"/>
          <w:sz w:val="28"/>
          <w:szCs w:val="28"/>
          <w:lang w:val="uk-UA" w:eastAsia="uk-UA"/>
        </w:rPr>
        <w:lastRenderedPageBreak/>
        <w:pict>
          <v:group id="_x0000_s1046" style="position:absolute;left:0;text-align:left;margin-left:57.3pt;margin-top:20.2pt;width:518.8pt;height:801.3pt;z-index:251659264;mso-position-horizontal-relative:page;mso-position-vertical-relative:page" coordsize="20000,20000">
            <v:rect id="_x0000_s1047" style="position:absolute;width:20000;height:20000" filled="f" strokeweight="2pt"/>
            <v:line id="_x0000_s1048" style="position:absolute" from="1093,18949" to="1095,19989" strokeweight="2pt"/>
            <v:line id="_x0000_s1049" style="position:absolute" from="10,18941" to="19977,18942" strokeweight="2pt"/>
            <v:line id="_x0000_s1050" style="position:absolute" from="2186,18949" to="2188,19989" strokeweight="2pt"/>
            <v:line id="_x0000_s1051" style="position:absolute" from="4919,18949" to="4921,19989" strokeweight="2pt"/>
            <v:line id="_x0000_s1052" style="position:absolute" from="6557,18959" to="6559,19989" strokeweight="2pt"/>
            <v:line id="_x0000_s1053" style="position:absolute" from="7650,18949" to="7652,19979" strokeweight="2pt"/>
            <v:line id="_x0000_s1054" style="position:absolute" from="18905,18949" to="18909,19989" strokeweight="2pt"/>
            <v:line id="_x0000_s1055" style="position:absolute" from="10,19293" to="7631,19295" strokeweight="1pt"/>
            <v:line id="_x0000_s1056" style="position:absolute" from="10,19646" to="7631,19647" strokeweight="2pt"/>
            <v:line id="_x0000_s1057" style="position:absolute" from="18919,19296" to="19990,19297" strokeweight="1pt"/>
            <v:rect id="_x0000_s1058" style="position:absolute;left:54;top:19660;width:1000;height:309" filled="f" stroked="f" strokeweight=".25pt">
              <v:textbox style="mso-next-textbox:#_x0000_s1058" inset="1pt,1pt,1pt,1pt">
                <w:txbxContent>
                  <w:p w:rsidR="00D01AD2" w:rsidRDefault="00D01AD2" w:rsidP="00D01AD2">
                    <w:pPr>
                      <w:pStyle w:val="a3"/>
                      <w:jc w:val="center"/>
                      <w:rPr>
                        <w:sz w:val="18"/>
                      </w:rPr>
                    </w:pPr>
                    <w:proofErr w:type="spellStart"/>
                    <w:r>
                      <w:rPr>
                        <w:sz w:val="18"/>
                      </w:rPr>
                      <w:t>Зм</w:t>
                    </w:r>
                    <w:proofErr w:type="spellEnd"/>
                    <w:r>
                      <w:rPr>
                        <w:sz w:val="18"/>
                      </w:rPr>
                      <w:t>.</w:t>
                    </w:r>
                  </w:p>
                </w:txbxContent>
              </v:textbox>
            </v:rect>
            <v:rect id="_x0000_s1059" style="position:absolute;left:1139;top:19660;width:1001;height:309" filled="f" stroked="f" strokeweight=".25pt">
              <v:textbox style="mso-next-textbox:#_x0000_s1059" inset="1pt,1pt,1pt,1pt">
                <w:txbxContent>
                  <w:p w:rsidR="00D01AD2" w:rsidRDefault="00D01AD2" w:rsidP="00D01AD2">
                    <w:pPr>
                      <w:pStyle w:val="a3"/>
                      <w:jc w:val="center"/>
                      <w:rPr>
                        <w:sz w:val="18"/>
                      </w:rPr>
                    </w:pPr>
                    <w:r>
                      <w:rPr>
                        <w:sz w:val="18"/>
                      </w:rPr>
                      <w:t>Арк.</w:t>
                    </w:r>
                  </w:p>
                </w:txbxContent>
              </v:textbox>
            </v:rect>
            <v:rect id="_x0000_s1060" style="position:absolute;left:2267;top:19660;width:2573;height:309" filled="f" stroked="f" strokeweight=".25pt">
              <v:textbox style="mso-next-textbox:#_x0000_s1060" inset="1pt,1pt,1pt,1pt">
                <w:txbxContent>
                  <w:p w:rsidR="00D01AD2" w:rsidRDefault="00D01AD2" w:rsidP="00D01AD2">
                    <w:pPr>
                      <w:pStyle w:val="a3"/>
                      <w:jc w:val="center"/>
                      <w:rPr>
                        <w:sz w:val="18"/>
                      </w:rPr>
                    </w:pPr>
                    <w:r>
                      <w:rPr>
                        <w:sz w:val="18"/>
                      </w:rPr>
                      <w:t>№ докум.</w:t>
                    </w:r>
                  </w:p>
                </w:txbxContent>
              </v:textbox>
            </v:rect>
            <v:rect id="_x0000_s1061" style="position:absolute;left:4983;top:19660;width:1534;height:309" filled="f" stroked="f" strokeweight=".25pt">
              <v:textbox style="mso-next-textbox:#_x0000_s1061" inset="1pt,1pt,1pt,1pt">
                <w:txbxContent>
                  <w:p w:rsidR="00D01AD2" w:rsidRDefault="00D01AD2" w:rsidP="00D01AD2">
                    <w:pPr>
                      <w:pStyle w:val="a3"/>
                      <w:jc w:val="center"/>
                      <w:rPr>
                        <w:sz w:val="18"/>
                      </w:rPr>
                    </w:pPr>
                    <w:r>
                      <w:rPr>
                        <w:sz w:val="18"/>
                      </w:rPr>
                      <w:t>Підпис</w:t>
                    </w:r>
                  </w:p>
                </w:txbxContent>
              </v:textbox>
            </v:rect>
            <v:rect id="_x0000_s1062" style="position:absolute;left:6604;top:19660;width:1000;height:309" filled="f" stroked="f" strokeweight=".25pt">
              <v:textbox style="mso-next-textbox:#_x0000_s1062" inset="1pt,1pt,1pt,1pt">
                <w:txbxContent>
                  <w:p w:rsidR="00D01AD2" w:rsidRDefault="00D01AD2" w:rsidP="00D01AD2">
                    <w:pPr>
                      <w:pStyle w:val="a3"/>
                      <w:jc w:val="center"/>
                      <w:rPr>
                        <w:sz w:val="18"/>
                      </w:rPr>
                    </w:pPr>
                    <w:r>
                      <w:rPr>
                        <w:sz w:val="18"/>
                      </w:rPr>
                      <w:t>Дата</w:t>
                    </w:r>
                  </w:p>
                </w:txbxContent>
              </v:textbox>
            </v:rect>
            <v:rect id="_x0000_s1063" style="position:absolute;left:18949;top:18977;width:1001;height:309" filled="f" stroked="f" strokeweight=".25pt">
              <v:textbox style="mso-next-textbox:#_x0000_s1063" inset="1pt,1pt,1pt,1pt">
                <w:txbxContent>
                  <w:p w:rsidR="00D01AD2" w:rsidRDefault="00D01AD2" w:rsidP="00D01AD2">
                    <w:pPr>
                      <w:pStyle w:val="a3"/>
                      <w:jc w:val="center"/>
                      <w:rPr>
                        <w:sz w:val="18"/>
                      </w:rPr>
                    </w:pPr>
                    <w:r>
                      <w:rPr>
                        <w:sz w:val="18"/>
                      </w:rPr>
                      <w:t>Арк.</w:t>
                    </w:r>
                  </w:p>
                </w:txbxContent>
              </v:textbox>
            </v:rect>
            <v:rect id="_x0000_s1064" style="position:absolute;left:18949;top:19435;width:1001;height:423" filled="f" stroked="f" strokeweight=".25pt">
              <v:textbox style="mso-next-textbox:#_x0000_s1064" inset="1pt,1pt,1pt,1pt">
                <w:txbxContent>
                  <w:p w:rsidR="00D01AD2" w:rsidRPr="00973C98" w:rsidRDefault="00973C98" w:rsidP="00D01AD2">
                    <w:pPr>
                      <w:jc w:val="center"/>
                      <w:rPr>
                        <w:rFonts w:ascii="Times New Roman" w:hAnsi="Times New Roman" w:cs="Times New Roman"/>
                        <w:sz w:val="24"/>
                        <w:szCs w:val="24"/>
                        <w:lang w:val="uk-UA"/>
                      </w:rPr>
                    </w:pPr>
                    <w:r>
                      <w:rPr>
                        <w:rFonts w:ascii="Times New Roman" w:hAnsi="Times New Roman" w:cs="Times New Roman"/>
                        <w:sz w:val="24"/>
                        <w:szCs w:val="24"/>
                        <w:lang w:val="uk-UA"/>
                      </w:rPr>
                      <w:t>42</w:t>
                    </w:r>
                  </w:p>
                </w:txbxContent>
              </v:textbox>
            </v:rect>
            <v:rect id="_x0000_s1065" style="position:absolute;left:7745;top:19221;width:11075;height:477" filled="f" stroked="f" strokeweight=".25pt">
              <v:textbox style="mso-next-textbox:#_x0000_s1065" inset="1pt,1pt,1pt,1pt">
                <w:txbxContent>
                  <w:p w:rsidR="00D01AD2" w:rsidRPr="00D01AD2" w:rsidRDefault="00D01AD2" w:rsidP="00D01AD2">
                    <w:pPr>
                      <w:jc w:val="center"/>
                      <w:rPr>
                        <w:rFonts w:ascii="Times New Roman" w:hAnsi="Times New Roman" w:cs="Times New Roman"/>
                        <w:sz w:val="28"/>
                        <w:szCs w:val="28"/>
                      </w:rPr>
                    </w:pPr>
                    <w:r w:rsidRPr="00D01AD2">
                      <w:rPr>
                        <w:rFonts w:ascii="Times New Roman" w:hAnsi="Times New Roman" w:cs="Times New Roman"/>
                        <w:sz w:val="28"/>
                        <w:szCs w:val="28"/>
                      </w:rPr>
                      <w:t>КРА.</w:t>
                    </w:r>
                    <w:r w:rsidRPr="00D01AD2">
                      <w:rPr>
                        <w:rFonts w:ascii="Times New Roman" w:hAnsi="Times New Roman" w:cs="Times New Roman"/>
                        <w:sz w:val="28"/>
                        <w:szCs w:val="28"/>
                        <w:lang w:val="en-US"/>
                      </w:rPr>
                      <w:t>1</w:t>
                    </w:r>
                    <w:r w:rsidRPr="00D01AD2">
                      <w:rPr>
                        <w:rFonts w:ascii="Times New Roman" w:hAnsi="Times New Roman" w:cs="Times New Roman"/>
                        <w:sz w:val="28"/>
                        <w:szCs w:val="28"/>
                        <w:lang w:val="uk-UA"/>
                      </w:rPr>
                      <w:t>8</w:t>
                    </w:r>
                    <w:r w:rsidRPr="00D01AD2">
                      <w:rPr>
                        <w:rFonts w:ascii="Times New Roman" w:hAnsi="Times New Roman" w:cs="Times New Roman"/>
                        <w:sz w:val="28"/>
                        <w:szCs w:val="28"/>
                      </w:rPr>
                      <w:t>.00.00 ПЗ</w:t>
                    </w:r>
                  </w:p>
                  <w:p w:rsidR="00D01AD2" w:rsidRPr="002E56C1" w:rsidRDefault="00D01AD2" w:rsidP="00D01AD2"/>
                </w:txbxContent>
              </v:textbox>
            </v:rect>
            <w10:wrap anchorx="page" anchory="page"/>
            <w10:anchorlock/>
          </v:group>
        </w:pict>
      </w:r>
      <w:r w:rsidRPr="00877F3F">
        <w:rPr>
          <w:rFonts w:ascii="Times New Roman" w:hAnsi="Times New Roman" w:cs="Times New Roman"/>
          <w:color w:val="000000"/>
          <w:sz w:val="28"/>
          <w:szCs w:val="28"/>
          <w:lang w:val="uk-UA"/>
        </w:rPr>
        <w:t>колійний приймач необхідно замінити й передати в РТД для ремонту. Ви</w:t>
      </w:r>
      <w:r w:rsidRPr="00877F3F">
        <w:rPr>
          <w:rFonts w:ascii="Times New Roman" w:hAnsi="Times New Roman" w:cs="Times New Roman"/>
          <w:color w:val="000000"/>
          <w:sz w:val="28"/>
          <w:szCs w:val="28"/>
          <w:lang w:val="uk-UA"/>
        </w:rPr>
        <w:softHyphen/>
        <w:t>мірювання виконують приладом типу Ц4380 або Ц4312 у режимі постійного струму.</w:t>
      </w:r>
    </w:p>
    <w:p w:rsidR="00194C94" w:rsidRPr="00877F3F" w:rsidRDefault="00194C94" w:rsidP="00194C94">
      <w:pPr>
        <w:shd w:val="clear" w:color="auto" w:fill="FFFFFF"/>
        <w:autoSpaceDE w:val="0"/>
        <w:autoSpaceDN w:val="0"/>
        <w:adjustRightInd w:val="0"/>
        <w:spacing w:after="0" w:line="360" w:lineRule="auto"/>
        <w:ind w:firstLine="709"/>
        <w:contextualSpacing/>
        <w:jc w:val="both"/>
        <w:rPr>
          <w:rFonts w:ascii="Times New Roman" w:hAnsi="Times New Roman" w:cs="Times New Roman"/>
          <w:sz w:val="28"/>
          <w:szCs w:val="28"/>
          <w:lang w:val="uk-UA"/>
        </w:rPr>
      </w:pPr>
      <w:r w:rsidRPr="00877F3F">
        <w:rPr>
          <w:rFonts w:ascii="Times New Roman" w:hAnsi="Times New Roman" w:cs="Times New Roman"/>
          <w:color w:val="000000"/>
          <w:sz w:val="28"/>
          <w:szCs w:val="28"/>
          <w:lang w:val="uk-UA"/>
        </w:rPr>
        <w:t>Один раз на квартал, а також при заміні апаратури та регулюванні рейкового кола, вимірюється залишкова напруга на вході колійних приймачів при накладанні типового шунта на живильному, релейних кінцях та посередині ТРК. Якщо залишкова напруга на колійному приймачі перевищує встановлену норму, то подальша дія автоблокування на пере</w:t>
      </w:r>
      <w:r w:rsidRPr="00877F3F">
        <w:rPr>
          <w:rFonts w:ascii="Times New Roman" w:hAnsi="Times New Roman" w:cs="Times New Roman"/>
          <w:color w:val="000000"/>
          <w:sz w:val="28"/>
          <w:szCs w:val="28"/>
          <w:lang w:val="uk-UA"/>
        </w:rPr>
        <w:softHyphen/>
        <w:t>гоні припиняється і негайно вживаються заходи щодо перевірки правильності включення схеми ТРК, усунення завад від сторонніх джерел та регулювання. Вимірювання виконують приладами типу Ц4380, Ц4312, ВЗ-38 та ВЗ-55 у режимі змінного струму.</w:t>
      </w:r>
    </w:p>
    <w:p w:rsidR="00194C94" w:rsidRPr="00877F3F" w:rsidRDefault="00194C94" w:rsidP="00194C94">
      <w:pPr>
        <w:shd w:val="clear" w:color="auto" w:fill="FFFFFF"/>
        <w:autoSpaceDE w:val="0"/>
        <w:autoSpaceDN w:val="0"/>
        <w:adjustRightInd w:val="0"/>
        <w:spacing w:after="0" w:line="360" w:lineRule="auto"/>
        <w:ind w:firstLine="709"/>
        <w:contextualSpacing/>
        <w:jc w:val="both"/>
        <w:rPr>
          <w:rFonts w:ascii="Times New Roman" w:hAnsi="Times New Roman" w:cs="Times New Roman"/>
          <w:sz w:val="28"/>
          <w:szCs w:val="28"/>
          <w:lang w:val="uk-UA"/>
        </w:rPr>
      </w:pPr>
      <w:r w:rsidRPr="00877F3F">
        <w:rPr>
          <w:rFonts w:ascii="Times New Roman" w:hAnsi="Times New Roman" w:cs="Times New Roman"/>
          <w:color w:val="000000"/>
          <w:sz w:val="28"/>
          <w:szCs w:val="28"/>
          <w:lang w:val="uk-UA"/>
        </w:rPr>
        <w:t>Один раз на квартал, а також при заміні апаратури та регулюванні рейкового кола, вимірюється залишкова напруга в режимі постійного струму на обмотках основних колійних реле при накладанні типового шунта на живильному, релей</w:t>
      </w:r>
      <w:r w:rsidRPr="00877F3F">
        <w:rPr>
          <w:rFonts w:ascii="Times New Roman" w:hAnsi="Times New Roman" w:cs="Times New Roman"/>
          <w:color w:val="000000"/>
          <w:sz w:val="28"/>
          <w:szCs w:val="28"/>
          <w:lang w:val="uk-UA"/>
        </w:rPr>
        <w:softHyphen/>
        <w:t>них кінцях та посередині ТРК. Якщо залишкова напру</w:t>
      </w:r>
      <w:r w:rsidRPr="00877F3F">
        <w:rPr>
          <w:rFonts w:ascii="Times New Roman" w:hAnsi="Times New Roman" w:cs="Times New Roman"/>
          <w:color w:val="000000"/>
          <w:sz w:val="28"/>
          <w:szCs w:val="28"/>
          <w:lang w:val="uk-UA"/>
        </w:rPr>
        <w:softHyphen/>
        <w:t>га перевищує встановлену норму, то колійний приймач необхідно замінити й передати в РТД для ремонту. Вимірювання виконують приладом типу Ц4380 або Ц4312 у режимі постійного струму.</w:t>
      </w:r>
    </w:p>
    <w:p w:rsidR="00194C94" w:rsidRPr="00877F3F" w:rsidRDefault="00194C94" w:rsidP="00194C94">
      <w:pPr>
        <w:shd w:val="clear" w:color="auto" w:fill="FFFFFF"/>
        <w:autoSpaceDE w:val="0"/>
        <w:autoSpaceDN w:val="0"/>
        <w:adjustRightInd w:val="0"/>
        <w:spacing w:after="0" w:line="360" w:lineRule="auto"/>
        <w:ind w:firstLine="709"/>
        <w:contextualSpacing/>
        <w:jc w:val="both"/>
        <w:rPr>
          <w:rFonts w:ascii="Times New Roman" w:hAnsi="Times New Roman" w:cs="Times New Roman"/>
          <w:sz w:val="28"/>
          <w:szCs w:val="28"/>
          <w:lang w:val="uk-UA"/>
        </w:rPr>
      </w:pPr>
      <w:r w:rsidRPr="00877F3F">
        <w:rPr>
          <w:rFonts w:ascii="Times New Roman" w:hAnsi="Times New Roman" w:cs="Times New Roman"/>
          <w:color w:val="000000"/>
          <w:sz w:val="28"/>
          <w:szCs w:val="28"/>
          <w:lang w:val="uk-UA"/>
        </w:rPr>
        <w:t xml:space="preserve">Один раз у 6 місяців (весною та восени) вимірюється напруга пульсації (змінна складова) постійного струму на контактах </w:t>
      </w:r>
      <w:r w:rsidRPr="00877F3F">
        <w:rPr>
          <w:rFonts w:ascii="Times New Roman" w:hAnsi="Times New Roman" w:cs="Times New Roman"/>
          <w:iCs/>
          <w:color w:val="000000"/>
          <w:sz w:val="28"/>
          <w:szCs w:val="28"/>
          <w:lang w:val="uk-UA"/>
        </w:rPr>
        <w:t>2-4, 2-61</w:t>
      </w:r>
      <w:r w:rsidRPr="00877F3F">
        <w:rPr>
          <w:rFonts w:ascii="Times New Roman" w:hAnsi="Times New Roman" w:cs="Times New Roman"/>
          <w:i/>
          <w:iCs/>
          <w:color w:val="000000"/>
          <w:sz w:val="28"/>
          <w:szCs w:val="28"/>
          <w:lang w:val="uk-UA"/>
        </w:rPr>
        <w:t xml:space="preserve"> </w:t>
      </w:r>
      <w:r w:rsidRPr="00877F3F">
        <w:rPr>
          <w:rFonts w:ascii="Times New Roman" w:hAnsi="Times New Roman" w:cs="Times New Roman"/>
          <w:color w:val="000000"/>
          <w:sz w:val="28"/>
          <w:szCs w:val="28"/>
          <w:lang w:val="uk-UA"/>
        </w:rPr>
        <w:t xml:space="preserve">генераторів типу ГП, ГПЗ або на контактах </w:t>
      </w:r>
      <w:r w:rsidRPr="00877F3F">
        <w:rPr>
          <w:rFonts w:ascii="Times New Roman" w:hAnsi="Times New Roman" w:cs="Times New Roman"/>
          <w:iCs/>
          <w:color w:val="000000"/>
          <w:sz w:val="28"/>
          <w:szCs w:val="28"/>
          <w:lang w:val="uk-UA"/>
        </w:rPr>
        <w:t>11-32, 51-32</w:t>
      </w:r>
      <w:r w:rsidRPr="00877F3F">
        <w:rPr>
          <w:rFonts w:ascii="Times New Roman" w:hAnsi="Times New Roman" w:cs="Times New Roman"/>
          <w:i/>
          <w:iCs/>
          <w:color w:val="000000"/>
          <w:sz w:val="28"/>
          <w:szCs w:val="28"/>
          <w:lang w:val="uk-UA"/>
        </w:rPr>
        <w:t xml:space="preserve"> </w:t>
      </w:r>
      <w:r w:rsidRPr="00877F3F">
        <w:rPr>
          <w:rFonts w:ascii="Times New Roman" w:hAnsi="Times New Roman" w:cs="Times New Roman"/>
          <w:color w:val="000000"/>
          <w:sz w:val="28"/>
          <w:szCs w:val="28"/>
          <w:lang w:val="uk-UA"/>
        </w:rPr>
        <w:t>генераторів типу ГРЦ4 і ГП4. Величина допустимої напруги пульсації не повинна перевищувати 0.9 В, Якщо напруга пульсації (змінної складової) постійного струму пере</w:t>
      </w:r>
      <w:r w:rsidRPr="00877F3F">
        <w:rPr>
          <w:rFonts w:ascii="Times New Roman" w:hAnsi="Times New Roman" w:cs="Times New Roman"/>
          <w:color w:val="000000"/>
          <w:sz w:val="28"/>
          <w:szCs w:val="28"/>
          <w:lang w:val="uk-UA"/>
        </w:rPr>
        <w:softHyphen/>
        <w:t xml:space="preserve">вищує встановлену норму, то генератор замінюють і направляють у РТД для ремонту. Вимірювання виконують </w:t>
      </w:r>
      <w:proofErr w:type="spellStart"/>
      <w:r w:rsidRPr="00877F3F">
        <w:rPr>
          <w:rFonts w:ascii="Times New Roman" w:hAnsi="Times New Roman" w:cs="Times New Roman"/>
          <w:color w:val="000000"/>
          <w:sz w:val="28"/>
          <w:szCs w:val="28"/>
          <w:lang w:val="uk-UA"/>
        </w:rPr>
        <w:t>мультиметром</w:t>
      </w:r>
      <w:proofErr w:type="spellEnd"/>
      <w:r w:rsidRPr="00877F3F">
        <w:rPr>
          <w:rFonts w:ascii="Times New Roman" w:hAnsi="Times New Roman" w:cs="Times New Roman"/>
          <w:color w:val="000000"/>
          <w:sz w:val="28"/>
          <w:szCs w:val="28"/>
          <w:lang w:val="uk-UA"/>
        </w:rPr>
        <w:t xml:space="preserve"> типу В7-63 у режимі вимірювання змінного струму з урахуванням пауз (на індикаторі повинен висвічуватися знак « І—І ») або мілівольтметром типу ВЗ-55.</w:t>
      </w:r>
    </w:p>
    <w:p w:rsidR="00194C94" w:rsidRDefault="00194C94" w:rsidP="00194C94">
      <w:pPr>
        <w:spacing w:after="0" w:line="360" w:lineRule="auto"/>
        <w:ind w:firstLine="709"/>
        <w:contextualSpacing/>
        <w:jc w:val="both"/>
        <w:rPr>
          <w:rFonts w:ascii="Times New Roman" w:hAnsi="Times New Roman" w:cs="Times New Roman"/>
          <w:color w:val="000000"/>
          <w:sz w:val="28"/>
          <w:szCs w:val="28"/>
          <w:lang w:val="uk-UA"/>
        </w:rPr>
      </w:pPr>
      <w:r w:rsidRPr="00877F3F">
        <w:rPr>
          <w:rFonts w:ascii="Times New Roman" w:hAnsi="Times New Roman" w:cs="Times New Roman"/>
          <w:color w:val="000000"/>
          <w:sz w:val="28"/>
          <w:szCs w:val="28"/>
          <w:lang w:val="uk-UA"/>
        </w:rPr>
        <w:t>Результати вимірювань оформлюють у журналі форми ШУ-64 або картці форми ШУ-62</w:t>
      </w:r>
      <w:r>
        <w:rPr>
          <w:rFonts w:ascii="Times New Roman" w:hAnsi="Times New Roman" w:cs="Times New Roman"/>
          <w:color w:val="000000"/>
          <w:sz w:val="28"/>
          <w:szCs w:val="28"/>
          <w:lang w:val="uk-UA"/>
        </w:rPr>
        <w:t>.</w:t>
      </w:r>
    </w:p>
    <w:p w:rsidR="0033304F" w:rsidRPr="00185871" w:rsidRDefault="0033304F" w:rsidP="00212D1F">
      <w:pPr>
        <w:spacing w:after="0" w:line="360" w:lineRule="auto"/>
        <w:jc w:val="both"/>
        <w:rPr>
          <w:szCs w:val="28"/>
        </w:rPr>
      </w:pPr>
    </w:p>
    <w:sectPr w:rsidR="0033304F" w:rsidRPr="00185871" w:rsidSect="00194C94">
      <w:pgSz w:w="11906" w:h="16838"/>
      <w:pgMar w:top="851" w:right="567"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SOCPEUR">
    <w:altName w:val="Arial"/>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55922"/>
    <w:multiLevelType w:val="hybridMultilevel"/>
    <w:tmpl w:val="8140F4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1183"/>
    <w:rsid w:val="00185871"/>
    <w:rsid w:val="00194C94"/>
    <w:rsid w:val="00212D1F"/>
    <w:rsid w:val="002A59D5"/>
    <w:rsid w:val="002E0CF9"/>
    <w:rsid w:val="002E7415"/>
    <w:rsid w:val="0033304F"/>
    <w:rsid w:val="003906CD"/>
    <w:rsid w:val="004B78F9"/>
    <w:rsid w:val="005E17A5"/>
    <w:rsid w:val="008727DB"/>
    <w:rsid w:val="00891183"/>
    <w:rsid w:val="00973C98"/>
    <w:rsid w:val="009F276C"/>
    <w:rsid w:val="00C27BDD"/>
    <w:rsid w:val="00D01AD2"/>
    <w:rsid w:val="00D51DFB"/>
    <w:rsid w:val="00DC52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C94"/>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891183"/>
    <w:pPr>
      <w:spacing w:after="0" w:line="240" w:lineRule="auto"/>
      <w:jc w:val="both"/>
    </w:pPr>
    <w:rPr>
      <w:rFonts w:ascii="ISOCPEUR" w:eastAsia="Times New Roman" w:hAnsi="ISOCPEUR" w:cs="ISOCPEUR"/>
      <w:i/>
      <w:iCs/>
      <w:sz w:val="28"/>
      <w:szCs w:val="28"/>
      <w:lang w:eastAsia="ru-RU"/>
    </w:rPr>
  </w:style>
  <w:style w:type="paragraph" w:styleId="a4">
    <w:name w:val="Body Text"/>
    <w:basedOn w:val="a"/>
    <w:link w:val="a5"/>
    <w:uiPriority w:val="99"/>
    <w:semiHidden/>
    <w:unhideWhenUsed/>
    <w:rsid w:val="00194C94"/>
    <w:pPr>
      <w:spacing w:after="120" w:line="360" w:lineRule="auto"/>
      <w:jc w:val="both"/>
    </w:pPr>
    <w:rPr>
      <w:rFonts w:ascii="Times New Roman" w:eastAsia="Times New Roman" w:hAnsi="Times New Roman" w:cs="Times New Roman"/>
      <w:sz w:val="28"/>
      <w:lang w:eastAsia="ru-RU"/>
    </w:rPr>
  </w:style>
  <w:style w:type="character" w:customStyle="1" w:styleId="a5">
    <w:name w:val="Основной текст Знак"/>
    <w:basedOn w:val="a0"/>
    <w:link w:val="a4"/>
    <w:uiPriority w:val="99"/>
    <w:semiHidden/>
    <w:rsid w:val="00194C94"/>
    <w:rPr>
      <w:rFonts w:ascii="Times New Roman" w:eastAsia="Times New Roman" w:hAnsi="Times New Roman" w:cs="Times New Roman"/>
      <w:sz w:val="2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2149</Words>
  <Characters>1225</Characters>
  <Application>Microsoft Office Word</Application>
  <DocSecurity>0</DocSecurity>
  <Lines>10</Lines>
  <Paragraphs>6</Paragraphs>
  <ScaleCrop>false</ScaleCrop>
  <Company>Microsoft</Company>
  <LinksUpToDate>false</LinksUpToDate>
  <CharactersWithSpaces>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Руслан</cp:lastModifiedBy>
  <cp:revision>11</cp:revision>
  <cp:lastPrinted>2012-11-30T00:32:00Z</cp:lastPrinted>
  <dcterms:created xsi:type="dcterms:W3CDTF">2012-11-29T22:18:00Z</dcterms:created>
  <dcterms:modified xsi:type="dcterms:W3CDTF">2012-11-30T00:32:00Z</dcterms:modified>
</cp:coreProperties>
</file>